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012" w:rsidRDefault="006D4012" w:rsidP="006D4012">
      <w:pPr>
        <w:spacing w:line="240" w:lineRule="auto"/>
        <w:jc w:val="center"/>
        <w:rPr>
          <w:b/>
          <w:sz w:val="28"/>
          <w:szCs w:val="28"/>
          <w:u w:val="single"/>
        </w:rPr>
      </w:pPr>
      <w:proofErr w:type="spellStart"/>
      <w:r>
        <w:rPr>
          <w:b/>
          <w:sz w:val="28"/>
          <w:szCs w:val="28"/>
          <w:u w:val="single"/>
        </w:rPr>
        <w:t>Gokula</w:t>
      </w:r>
      <w:proofErr w:type="spellEnd"/>
      <w:r>
        <w:rPr>
          <w:b/>
          <w:sz w:val="28"/>
          <w:szCs w:val="28"/>
          <w:u w:val="single"/>
        </w:rPr>
        <w:t xml:space="preserve"> Krishna college of Engineering –</w:t>
      </w:r>
      <w:proofErr w:type="spellStart"/>
      <w:r>
        <w:rPr>
          <w:b/>
          <w:sz w:val="28"/>
          <w:szCs w:val="28"/>
          <w:u w:val="single"/>
        </w:rPr>
        <w:t>Sullurpet</w:t>
      </w:r>
      <w:proofErr w:type="spellEnd"/>
    </w:p>
    <w:p w:rsidR="006D4012" w:rsidRDefault="006D4012" w:rsidP="006D4012">
      <w:pPr>
        <w:spacing w:line="240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Department of CIVIL Engineering</w:t>
      </w:r>
    </w:p>
    <w:p w:rsidR="006D4012" w:rsidRDefault="00C90876" w:rsidP="006D4012">
      <w:pPr>
        <w:pBdr>
          <w:bottom w:val="single" w:sz="6" w:space="1" w:color="auto"/>
        </w:pBd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II </w:t>
      </w:r>
      <w:r w:rsidR="006D4012">
        <w:rPr>
          <w:b/>
          <w:sz w:val="28"/>
          <w:szCs w:val="28"/>
        </w:rPr>
        <w:t>B.TECH, I SEMESTER GRAND TEST</w:t>
      </w:r>
    </w:p>
    <w:p w:rsidR="006D4012" w:rsidRDefault="00C90876" w:rsidP="006D4012">
      <w:pPr>
        <w:pBdr>
          <w:bottom w:val="single" w:sz="6" w:space="1" w:color="auto"/>
        </w:pBd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SURVEYING-1</w:t>
      </w:r>
    </w:p>
    <w:p w:rsidR="006D4012" w:rsidRDefault="006D4012" w:rsidP="006D4012">
      <w:pPr>
        <w:pStyle w:val="Default"/>
        <w:rPr>
          <w:sz w:val="23"/>
          <w:szCs w:val="23"/>
        </w:rPr>
      </w:pPr>
      <w:r>
        <w:tab/>
        <w:t xml:space="preserve"> </w:t>
      </w:r>
      <w:r>
        <w:rPr>
          <w:sz w:val="23"/>
          <w:szCs w:val="23"/>
        </w:rPr>
        <w:t>Time: 3 hours                                                                                 Max. Marks: 70</w:t>
      </w:r>
    </w:p>
    <w:p w:rsidR="006D4012" w:rsidRDefault="006D4012" w:rsidP="006D4012">
      <w:pPr>
        <w:pStyle w:val="Default"/>
      </w:pPr>
    </w:p>
    <w:p w:rsidR="006D4012" w:rsidRDefault="006D4012" w:rsidP="006D4012">
      <w:pPr>
        <w:pStyle w:val="Defaul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PART – A</w:t>
      </w:r>
    </w:p>
    <w:p w:rsidR="006D4012" w:rsidRDefault="006D4012" w:rsidP="006D4012">
      <w:pPr>
        <w:spacing w:after="0" w:line="240" w:lineRule="auto"/>
        <w:jc w:val="center"/>
        <w:rPr>
          <w:sz w:val="24"/>
          <w:szCs w:val="24"/>
        </w:rPr>
      </w:pPr>
      <w:r w:rsidRPr="00F43236">
        <w:rPr>
          <w:sz w:val="24"/>
          <w:szCs w:val="24"/>
        </w:rPr>
        <w:t>(</w:t>
      </w:r>
      <w:r>
        <w:rPr>
          <w:sz w:val="24"/>
          <w:szCs w:val="24"/>
        </w:rPr>
        <w:t>Compulsory Question</w:t>
      </w:r>
      <w:r w:rsidRPr="00F43236">
        <w:rPr>
          <w:sz w:val="24"/>
          <w:szCs w:val="24"/>
        </w:rPr>
        <w:t>)</w:t>
      </w:r>
    </w:p>
    <w:p w:rsidR="006D4012" w:rsidRDefault="006D4012" w:rsidP="006D401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1)          Answer the following: (10X2=20 Marks)</w:t>
      </w:r>
    </w:p>
    <w:p w:rsidR="00074986" w:rsidRPr="00EB3F5C" w:rsidRDefault="00557C9B" w:rsidP="00074986">
      <w:pPr>
        <w:pStyle w:val="Default"/>
        <w:rPr>
          <w:rFonts w:ascii="Calibri" w:hAnsi="Calibri"/>
          <w:sz w:val="22"/>
          <w:szCs w:val="22"/>
        </w:rPr>
      </w:pPr>
      <w:r>
        <w:rPr>
          <w:sz w:val="22"/>
          <w:szCs w:val="22"/>
        </w:rPr>
        <w:t xml:space="preserve">       </w:t>
      </w:r>
      <w:r w:rsidRPr="00EB3F5C">
        <w:rPr>
          <w:rFonts w:ascii="Calibri" w:hAnsi="Calibri"/>
          <w:sz w:val="22"/>
          <w:szCs w:val="22"/>
        </w:rPr>
        <w:t>(a) What is the object or purpose of surveying?</w:t>
      </w:r>
    </w:p>
    <w:p w:rsidR="00557C9B" w:rsidRPr="00EB3F5C" w:rsidRDefault="00557C9B" w:rsidP="00074986">
      <w:pPr>
        <w:pStyle w:val="Default"/>
        <w:rPr>
          <w:rFonts w:ascii="Calibri" w:hAnsi="Calibri"/>
          <w:sz w:val="22"/>
          <w:szCs w:val="22"/>
        </w:rPr>
      </w:pPr>
      <w:r w:rsidRPr="00EB3F5C">
        <w:rPr>
          <w:rFonts w:ascii="Calibri" w:hAnsi="Calibri"/>
          <w:sz w:val="22"/>
          <w:szCs w:val="22"/>
        </w:rPr>
        <w:t xml:space="preserve">        (b) Define chain </w:t>
      </w:r>
      <w:r w:rsidR="008714A9" w:rsidRPr="00EB3F5C">
        <w:rPr>
          <w:rFonts w:ascii="Calibri" w:hAnsi="Calibri"/>
          <w:sz w:val="22"/>
          <w:szCs w:val="22"/>
        </w:rPr>
        <w:t>surveying. What is</w:t>
      </w:r>
      <w:r w:rsidRPr="00EB3F5C">
        <w:rPr>
          <w:rFonts w:ascii="Calibri" w:hAnsi="Calibri"/>
          <w:sz w:val="22"/>
          <w:szCs w:val="22"/>
        </w:rPr>
        <w:t xml:space="preserve"> the fundamental principle of chain surveying?</w:t>
      </w:r>
    </w:p>
    <w:p w:rsidR="00557C9B" w:rsidRPr="00EB3F5C" w:rsidRDefault="00557C9B" w:rsidP="00074986">
      <w:pPr>
        <w:pStyle w:val="Default"/>
        <w:rPr>
          <w:rFonts w:ascii="Calibri" w:hAnsi="Calibri"/>
          <w:sz w:val="22"/>
          <w:szCs w:val="22"/>
        </w:rPr>
      </w:pPr>
      <w:r w:rsidRPr="00EB3F5C">
        <w:rPr>
          <w:rFonts w:ascii="Calibri" w:hAnsi="Calibri"/>
          <w:sz w:val="22"/>
          <w:szCs w:val="22"/>
        </w:rPr>
        <w:t xml:space="preserve">        (c)What do you understand by whole circle bearing and quardantal bearing of a line?</w:t>
      </w:r>
    </w:p>
    <w:p w:rsidR="00557C9B" w:rsidRPr="00EB3F5C" w:rsidRDefault="00557C9B" w:rsidP="00074986">
      <w:pPr>
        <w:pStyle w:val="Default"/>
        <w:rPr>
          <w:rFonts w:ascii="Calibri" w:hAnsi="Calibri"/>
          <w:sz w:val="22"/>
          <w:szCs w:val="22"/>
        </w:rPr>
      </w:pPr>
      <w:r w:rsidRPr="00EB3F5C">
        <w:rPr>
          <w:rFonts w:ascii="Calibri" w:hAnsi="Calibri"/>
          <w:sz w:val="22"/>
          <w:szCs w:val="22"/>
        </w:rPr>
        <w:t xml:space="preserve">        (d) Name the errors in plane tabling.</w:t>
      </w:r>
    </w:p>
    <w:p w:rsidR="00557C9B" w:rsidRPr="00EB3F5C" w:rsidRDefault="00C90876" w:rsidP="00074986">
      <w:pPr>
        <w:pStyle w:val="Default"/>
        <w:rPr>
          <w:rFonts w:ascii="Calibri" w:hAnsi="Calibri"/>
          <w:sz w:val="22"/>
          <w:szCs w:val="22"/>
        </w:rPr>
      </w:pPr>
      <w:r w:rsidRPr="00EB3F5C">
        <w:rPr>
          <w:rFonts w:ascii="Calibri" w:hAnsi="Calibri"/>
          <w:sz w:val="22"/>
          <w:szCs w:val="22"/>
        </w:rPr>
        <w:t xml:space="preserve">        (e</w:t>
      </w:r>
      <w:r w:rsidR="00557C9B" w:rsidRPr="00EB3F5C">
        <w:rPr>
          <w:rFonts w:ascii="Calibri" w:hAnsi="Calibri"/>
          <w:sz w:val="22"/>
          <w:szCs w:val="22"/>
        </w:rPr>
        <w:t>)What are the different kinds of bench marks</w:t>
      </w:r>
      <w:r w:rsidRPr="00EB3F5C">
        <w:rPr>
          <w:rFonts w:ascii="Calibri" w:hAnsi="Calibri"/>
          <w:sz w:val="22"/>
          <w:szCs w:val="22"/>
        </w:rPr>
        <w:t>?</w:t>
      </w:r>
    </w:p>
    <w:p w:rsidR="006D4012" w:rsidRPr="00EB3F5C" w:rsidRDefault="00C90876" w:rsidP="006D4012">
      <w:pPr>
        <w:pStyle w:val="Default"/>
        <w:rPr>
          <w:rFonts w:ascii="Calibri" w:hAnsi="Calibri"/>
          <w:sz w:val="22"/>
          <w:szCs w:val="22"/>
        </w:rPr>
      </w:pPr>
      <w:r w:rsidRPr="00EB3F5C">
        <w:rPr>
          <w:rFonts w:ascii="Calibri" w:hAnsi="Calibri"/>
          <w:sz w:val="22"/>
          <w:szCs w:val="22"/>
        </w:rPr>
        <w:t xml:space="preserve">      </w:t>
      </w:r>
      <w:r w:rsidR="002971B8">
        <w:rPr>
          <w:rFonts w:ascii="Calibri" w:hAnsi="Calibri"/>
          <w:sz w:val="22"/>
          <w:szCs w:val="22"/>
        </w:rPr>
        <w:t xml:space="preserve"> </w:t>
      </w:r>
      <w:r w:rsidRPr="00EB3F5C">
        <w:rPr>
          <w:rFonts w:ascii="Calibri" w:hAnsi="Calibri"/>
          <w:sz w:val="22"/>
          <w:szCs w:val="22"/>
        </w:rPr>
        <w:t xml:space="preserve"> (f)What are the different characteristics of contour?</w:t>
      </w:r>
    </w:p>
    <w:p w:rsidR="00C90876" w:rsidRPr="00EB3F5C" w:rsidRDefault="00C90876" w:rsidP="00C90876">
      <w:pPr>
        <w:pStyle w:val="Default"/>
        <w:rPr>
          <w:rFonts w:ascii="Calibri" w:hAnsi="Calibri"/>
          <w:sz w:val="22"/>
          <w:szCs w:val="22"/>
        </w:rPr>
      </w:pPr>
      <w:r w:rsidRPr="00EB3F5C">
        <w:rPr>
          <w:rFonts w:ascii="Calibri" w:hAnsi="Calibri"/>
          <w:sz w:val="22"/>
          <w:szCs w:val="22"/>
        </w:rPr>
        <w:t xml:space="preserve">      </w:t>
      </w:r>
      <w:r w:rsidR="002971B8">
        <w:rPr>
          <w:rFonts w:ascii="Calibri" w:hAnsi="Calibri"/>
          <w:sz w:val="22"/>
          <w:szCs w:val="22"/>
        </w:rPr>
        <w:t xml:space="preserve"> </w:t>
      </w:r>
      <w:r w:rsidRPr="00EB3F5C">
        <w:rPr>
          <w:rFonts w:ascii="Calibri" w:hAnsi="Calibri"/>
          <w:sz w:val="22"/>
          <w:szCs w:val="22"/>
        </w:rPr>
        <w:t xml:space="preserve"> (g)List the essential parts of</w:t>
      </w:r>
      <w:r w:rsidR="008714A9">
        <w:rPr>
          <w:rFonts w:ascii="Calibri" w:hAnsi="Calibri"/>
          <w:sz w:val="22"/>
          <w:szCs w:val="22"/>
        </w:rPr>
        <w:t xml:space="preserve"> a T</w:t>
      </w:r>
      <w:r w:rsidRPr="00EB3F5C">
        <w:rPr>
          <w:rFonts w:ascii="Calibri" w:hAnsi="Calibri"/>
          <w:sz w:val="22"/>
          <w:szCs w:val="22"/>
        </w:rPr>
        <w:t>heodolite.</w:t>
      </w:r>
    </w:p>
    <w:p w:rsidR="00C90876" w:rsidRPr="00EB3F5C" w:rsidRDefault="00C90876" w:rsidP="00C90876">
      <w:pPr>
        <w:pStyle w:val="Default"/>
        <w:rPr>
          <w:rFonts w:ascii="Calibri" w:hAnsi="Calibri"/>
          <w:sz w:val="22"/>
          <w:szCs w:val="22"/>
        </w:rPr>
      </w:pPr>
      <w:r w:rsidRPr="00EB3F5C">
        <w:rPr>
          <w:rFonts w:ascii="Calibri" w:hAnsi="Calibri"/>
          <w:sz w:val="22"/>
          <w:szCs w:val="22"/>
        </w:rPr>
        <w:t xml:space="preserve">      </w:t>
      </w:r>
      <w:r w:rsidR="002971B8">
        <w:rPr>
          <w:rFonts w:ascii="Calibri" w:hAnsi="Calibri"/>
          <w:sz w:val="22"/>
          <w:szCs w:val="22"/>
        </w:rPr>
        <w:t xml:space="preserve"> </w:t>
      </w:r>
      <w:r w:rsidRPr="00EB3F5C">
        <w:rPr>
          <w:rFonts w:ascii="Calibri" w:hAnsi="Calibri"/>
          <w:sz w:val="22"/>
          <w:szCs w:val="22"/>
        </w:rPr>
        <w:t xml:space="preserve"> (h) Name the two methods of measuring horizontal angles usin</w:t>
      </w:r>
      <w:r w:rsidR="00EB3F5C" w:rsidRPr="00EB3F5C">
        <w:rPr>
          <w:rFonts w:ascii="Calibri" w:hAnsi="Calibri"/>
          <w:sz w:val="22"/>
          <w:szCs w:val="22"/>
        </w:rPr>
        <w:t>g a theodo</w:t>
      </w:r>
      <w:r w:rsidRPr="00EB3F5C">
        <w:rPr>
          <w:rFonts w:ascii="Calibri" w:hAnsi="Calibri"/>
          <w:sz w:val="22"/>
          <w:szCs w:val="22"/>
        </w:rPr>
        <w:t xml:space="preserve">lite.When each                                   </w:t>
      </w:r>
    </w:p>
    <w:p w:rsidR="00C90876" w:rsidRPr="00EB3F5C" w:rsidRDefault="00C90876" w:rsidP="006D4012">
      <w:pPr>
        <w:pStyle w:val="Default"/>
        <w:rPr>
          <w:rFonts w:ascii="Calibri" w:hAnsi="Calibri"/>
          <w:sz w:val="22"/>
          <w:szCs w:val="22"/>
        </w:rPr>
      </w:pPr>
      <w:r w:rsidRPr="00EB3F5C">
        <w:rPr>
          <w:rFonts w:ascii="Calibri" w:hAnsi="Calibri"/>
          <w:sz w:val="22"/>
          <w:szCs w:val="22"/>
        </w:rPr>
        <w:t xml:space="preserve">           Method is advantageously used?</w:t>
      </w:r>
    </w:p>
    <w:p w:rsidR="00C90876" w:rsidRPr="00EB3F5C" w:rsidRDefault="00C90876" w:rsidP="006D4012">
      <w:pPr>
        <w:pStyle w:val="Default"/>
        <w:rPr>
          <w:rFonts w:ascii="Calibri" w:hAnsi="Calibri"/>
          <w:sz w:val="22"/>
          <w:szCs w:val="22"/>
        </w:rPr>
      </w:pPr>
      <w:r w:rsidRPr="00EB3F5C">
        <w:rPr>
          <w:rFonts w:ascii="Calibri" w:hAnsi="Calibri"/>
          <w:sz w:val="22"/>
          <w:szCs w:val="22"/>
        </w:rPr>
        <w:t xml:space="preserve">       </w:t>
      </w:r>
      <w:r w:rsidR="002971B8">
        <w:rPr>
          <w:rFonts w:ascii="Calibri" w:hAnsi="Calibri"/>
          <w:sz w:val="22"/>
          <w:szCs w:val="22"/>
        </w:rPr>
        <w:t xml:space="preserve"> </w:t>
      </w:r>
      <w:r w:rsidRPr="00EB3F5C">
        <w:rPr>
          <w:rFonts w:ascii="Calibri" w:hAnsi="Calibri"/>
          <w:sz w:val="22"/>
          <w:szCs w:val="22"/>
        </w:rPr>
        <w:t>(</w:t>
      </w:r>
      <w:proofErr w:type="spellStart"/>
      <w:r w:rsidRPr="00EB3F5C">
        <w:rPr>
          <w:rFonts w:ascii="Calibri" w:hAnsi="Calibri"/>
          <w:sz w:val="22"/>
          <w:szCs w:val="22"/>
        </w:rPr>
        <w:t>i</w:t>
      </w:r>
      <w:proofErr w:type="spellEnd"/>
      <w:r w:rsidRPr="00EB3F5C">
        <w:rPr>
          <w:rFonts w:ascii="Calibri" w:hAnsi="Calibri"/>
          <w:sz w:val="22"/>
          <w:szCs w:val="22"/>
        </w:rPr>
        <w:t xml:space="preserve">) What is </w:t>
      </w:r>
      <w:r w:rsidR="00EB3F5C" w:rsidRPr="00EB3F5C">
        <w:rPr>
          <w:rFonts w:ascii="Calibri" w:hAnsi="Calibri"/>
          <w:sz w:val="22"/>
          <w:szCs w:val="22"/>
        </w:rPr>
        <w:t>Simpson’s</w:t>
      </w:r>
      <w:r w:rsidRPr="00EB3F5C">
        <w:rPr>
          <w:rFonts w:ascii="Calibri" w:hAnsi="Calibri"/>
          <w:sz w:val="22"/>
          <w:szCs w:val="22"/>
        </w:rPr>
        <w:t xml:space="preserve"> </w:t>
      </w:r>
      <w:r w:rsidR="00EB3F5C" w:rsidRPr="00EB3F5C">
        <w:rPr>
          <w:rFonts w:ascii="Calibri" w:hAnsi="Calibri"/>
          <w:sz w:val="22"/>
          <w:szCs w:val="22"/>
        </w:rPr>
        <w:t>rule? What are the limitations of this method?</w:t>
      </w:r>
    </w:p>
    <w:p w:rsidR="00EB3F5C" w:rsidRPr="00EB3F5C" w:rsidRDefault="00EB3F5C" w:rsidP="006D4012">
      <w:pPr>
        <w:pStyle w:val="Default"/>
        <w:rPr>
          <w:rFonts w:ascii="Calibri" w:hAnsi="Calibri"/>
          <w:sz w:val="22"/>
          <w:szCs w:val="22"/>
        </w:rPr>
      </w:pPr>
      <w:r w:rsidRPr="00EB3F5C">
        <w:rPr>
          <w:rFonts w:ascii="Calibri" w:hAnsi="Calibri"/>
          <w:sz w:val="22"/>
          <w:szCs w:val="22"/>
        </w:rPr>
        <w:t xml:space="preserve">      </w:t>
      </w:r>
      <w:r w:rsidR="002971B8">
        <w:rPr>
          <w:rFonts w:ascii="Calibri" w:hAnsi="Calibri"/>
          <w:sz w:val="22"/>
          <w:szCs w:val="22"/>
        </w:rPr>
        <w:t xml:space="preserve"> </w:t>
      </w:r>
      <w:r w:rsidRPr="00EB3F5C">
        <w:rPr>
          <w:rFonts w:ascii="Calibri" w:hAnsi="Calibri"/>
          <w:sz w:val="22"/>
          <w:szCs w:val="22"/>
        </w:rPr>
        <w:t xml:space="preserve"> (j) What is prismoidal rule?</w:t>
      </w:r>
    </w:p>
    <w:p w:rsidR="00EB3F5C" w:rsidRDefault="00EB3F5C" w:rsidP="00EB3F5C">
      <w:pPr>
        <w:spacing w:after="0" w:line="240" w:lineRule="auto"/>
        <w:jc w:val="center"/>
        <w:rPr>
          <w:b/>
          <w:sz w:val="24"/>
          <w:szCs w:val="24"/>
        </w:rPr>
      </w:pPr>
      <w:r>
        <w:rPr>
          <w:rFonts w:ascii="Calibri" w:hAnsi="Calibri"/>
        </w:rPr>
        <w:t xml:space="preserve">                                                 </w:t>
      </w:r>
      <w:r w:rsidRPr="00B4463C">
        <w:rPr>
          <w:b/>
          <w:sz w:val="24"/>
          <w:szCs w:val="24"/>
        </w:rPr>
        <w:t>PART-B</w:t>
      </w:r>
    </w:p>
    <w:p w:rsidR="00EB3F5C" w:rsidRDefault="00EB3F5C" w:rsidP="00EB3F5C">
      <w:pPr>
        <w:spacing w:after="0" w:line="240" w:lineRule="auto"/>
        <w:jc w:val="center"/>
        <w:rPr>
          <w:sz w:val="24"/>
          <w:szCs w:val="24"/>
        </w:rPr>
      </w:pPr>
      <w:r w:rsidRPr="00B4463C">
        <w:rPr>
          <w:sz w:val="24"/>
          <w:szCs w:val="24"/>
        </w:rPr>
        <w:t>(Answer all five units, 5X10=50</w:t>
      </w:r>
      <w:r>
        <w:rPr>
          <w:sz w:val="24"/>
          <w:szCs w:val="24"/>
        </w:rPr>
        <w:t xml:space="preserve"> Marks</w:t>
      </w:r>
      <w:r w:rsidRPr="00B4463C">
        <w:rPr>
          <w:sz w:val="24"/>
          <w:szCs w:val="24"/>
        </w:rPr>
        <w:t>)</w:t>
      </w:r>
    </w:p>
    <w:p w:rsidR="00EB3F5C" w:rsidRPr="00B4463C" w:rsidRDefault="00EB3F5C" w:rsidP="00EB3F5C">
      <w:pPr>
        <w:spacing w:after="0" w:line="240" w:lineRule="auto"/>
        <w:jc w:val="center"/>
        <w:rPr>
          <w:sz w:val="24"/>
          <w:szCs w:val="24"/>
        </w:rPr>
      </w:pPr>
    </w:p>
    <w:tbl>
      <w:tblPr>
        <w:tblStyle w:val="TableGrid"/>
        <w:tblW w:w="0" w:type="auto"/>
        <w:tblInd w:w="3990" w:type="dxa"/>
        <w:tblLook w:val="04A0"/>
      </w:tblPr>
      <w:tblGrid>
        <w:gridCol w:w="1399"/>
      </w:tblGrid>
      <w:tr w:rsidR="00EB3F5C" w:rsidTr="00817AC3">
        <w:trPr>
          <w:trHeight w:val="216"/>
        </w:trPr>
        <w:tc>
          <w:tcPr>
            <w:tcW w:w="1399" w:type="dxa"/>
          </w:tcPr>
          <w:p w:rsidR="00EB3F5C" w:rsidRDefault="00EB3F5C" w:rsidP="00817AC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UNIT-I</w:t>
            </w:r>
          </w:p>
        </w:tc>
      </w:tr>
    </w:tbl>
    <w:p w:rsidR="00EB3F5C" w:rsidRPr="00BF1A0C" w:rsidRDefault="00EB3F5C" w:rsidP="006D4012">
      <w:pPr>
        <w:pStyle w:val="Default"/>
        <w:rPr>
          <w:rFonts w:ascii="Calibri" w:hAnsi="Calibri"/>
          <w:sz w:val="22"/>
          <w:szCs w:val="22"/>
        </w:rPr>
      </w:pPr>
      <w:r w:rsidRPr="00BF1A0C">
        <w:rPr>
          <w:rFonts w:ascii="Calibri" w:hAnsi="Calibri"/>
          <w:sz w:val="22"/>
          <w:szCs w:val="22"/>
        </w:rPr>
        <w:t xml:space="preserve"> 2     Discuss about the classification of surveying.</w:t>
      </w:r>
    </w:p>
    <w:p w:rsidR="00EB3F5C" w:rsidRPr="00BF1A0C" w:rsidRDefault="00EB3F5C" w:rsidP="006D4012">
      <w:pPr>
        <w:pStyle w:val="Default"/>
        <w:rPr>
          <w:rFonts w:ascii="Calibri" w:hAnsi="Calibri"/>
          <w:sz w:val="22"/>
          <w:szCs w:val="22"/>
        </w:rPr>
      </w:pPr>
      <w:r w:rsidRPr="00BF1A0C">
        <w:rPr>
          <w:rFonts w:ascii="Calibri" w:hAnsi="Calibri"/>
          <w:sz w:val="22"/>
          <w:szCs w:val="22"/>
        </w:rPr>
        <w:t xml:space="preserve">    (a) Based on object of survey.</w:t>
      </w:r>
    </w:p>
    <w:p w:rsidR="00EB3F5C" w:rsidRPr="00BF1A0C" w:rsidRDefault="00EB3F5C" w:rsidP="006D4012">
      <w:pPr>
        <w:pStyle w:val="Default"/>
        <w:rPr>
          <w:rFonts w:ascii="Calibri" w:hAnsi="Calibri"/>
          <w:sz w:val="22"/>
          <w:szCs w:val="22"/>
        </w:rPr>
      </w:pPr>
      <w:r w:rsidRPr="00BF1A0C">
        <w:rPr>
          <w:rFonts w:ascii="Calibri" w:hAnsi="Calibri"/>
          <w:sz w:val="22"/>
          <w:szCs w:val="22"/>
        </w:rPr>
        <w:t xml:space="preserve">    (b) Based on instruments employed.</w:t>
      </w:r>
    </w:p>
    <w:p w:rsidR="00EB3F5C" w:rsidRPr="00BF1A0C" w:rsidRDefault="00EB3F5C" w:rsidP="006D4012">
      <w:pPr>
        <w:pStyle w:val="Default"/>
        <w:rPr>
          <w:rFonts w:ascii="Calibri" w:hAnsi="Calibri"/>
          <w:sz w:val="22"/>
          <w:szCs w:val="22"/>
        </w:rPr>
      </w:pPr>
      <w:r w:rsidRPr="00BF1A0C">
        <w:rPr>
          <w:rFonts w:ascii="Calibri" w:hAnsi="Calibri"/>
          <w:sz w:val="22"/>
          <w:szCs w:val="22"/>
        </w:rPr>
        <w:t xml:space="preserve">                                                                       OR </w:t>
      </w:r>
    </w:p>
    <w:p w:rsidR="00EB3F5C" w:rsidRPr="00BF1A0C" w:rsidRDefault="00EB3F5C" w:rsidP="006D4012">
      <w:pPr>
        <w:pStyle w:val="Default"/>
        <w:rPr>
          <w:rFonts w:ascii="Calibri" w:hAnsi="Calibri"/>
          <w:sz w:val="22"/>
          <w:szCs w:val="22"/>
        </w:rPr>
      </w:pPr>
      <w:r w:rsidRPr="00BF1A0C">
        <w:rPr>
          <w:rFonts w:ascii="Calibri" w:hAnsi="Calibri"/>
          <w:sz w:val="22"/>
          <w:szCs w:val="22"/>
        </w:rPr>
        <w:t>3   (a) What factors should be considered in deciding the station of a chain survey?</w:t>
      </w:r>
    </w:p>
    <w:p w:rsidR="008B0C57" w:rsidRDefault="00EB3F5C" w:rsidP="008B0C57">
      <w:pPr>
        <w:pStyle w:val="Default"/>
        <w:rPr>
          <w:rFonts w:ascii="Calibri" w:hAnsi="Calibri"/>
          <w:sz w:val="22"/>
          <w:szCs w:val="22"/>
        </w:rPr>
      </w:pPr>
      <w:r w:rsidRPr="00BF1A0C">
        <w:rPr>
          <w:rFonts w:ascii="Calibri" w:hAnsi="Calibri"/>
          <w:sz w:val="22"/>
          <w:szCs w:val="22"/>
        </w:rPr>
        <w:t xml:space="preserve">     (b) What is local attraction? How is it detected and eliminated?</w:t>
      </w:r>
    </w:p>
    <w:p w:rsidR="00BF1A0C" w:rsidRPr="008B0C57" w:rsidRDefault="00BF1A0C" w:rsidP="008B0C57">
      <w:pPr>
        <w:pStyle w:val="Default"/>
        <w:rPr>
          <w:rFonts w:ascii="Calibri" w:hAnsi="Calibri"/>
          <w:sz w:val="22"/>
          <w:szCs w:val="22"/>
        </w:rPr>
      </w:pPr>
      <w:r>
        <w:tab/>
      </w:r>
      <w:r>
        <w:tab/>
      </w:r>
      <w:r>
        <w:tab/>
      </w:r>
      <w:r>
        <w:tab/>
      </w:r>
    </w:p>
    <w:tbl>
      <w:tblPr>
        <w:tblStyle w:val="TableGrid"/>
        <w:tblW w:w="0" w:type="auto"/>
        <w:tblInd w:w="3990" w:type="dxa"/>
        <w:tblLook w:val="04A0"/>
      </w:tblPr>
      <w:tblGrid>
        <w:gridCol w:w="1399"/>
      </w:tblGrid>
      <w:tr w:rsidR="00BF1A0C" w:rsidTr="008B0C57">
        <w:trPr>
          <w:trHeight w:val="216"/>
        </w:trPr>
        <w:tc>
          <w:tcPr>
            <w:tcW w:w="1399" w:type="dxa"/>
          </w:tcPr>
          <w:p w:rsidR="00BF1A0C" w:rsidRDefault="00BF1A0C" w:rsidP="00817AC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UNIT-II</w:t>
            </w:r>
          </w:p>
        </w:tc>
      </w:tr>
    </w:tbl>
    <w:p w:rsidR="008B0C57" w:rsidRDefault="008B0C57" w:rsidP="006D4012">
      <w:pPr>
        <w:pStyle w:val="Default"/>
        <w:rPr>
          <w:rFonts w:asciiTheme="minorHAnsi" w:hAnsiTheme="minorHAnsi"/>
          <w:sz w:val="22"/>
          <w:szCs w:val="22"/>
        </w:rPr>
      </w:pPr>
    </w:p>
    <w:p w:rsidR="00BF1A0C" w:rsidRDefault="00BF1A0C" w:rsidP="006D4012">
      <w:pPr>
        <w:pStyle w:val="Default"/>
        <w:rPr>
          <w:rFonts w:asciiTheme="minorHAnsi" w:hAnsiTheme="minorHAnsi"/>
          <w:sz w:val="22"/>
          <w:szCs w:val="22"/>
        </w:rPr>
      </w:pPr>
      <w:r w:rsidRPr="00BF1A0C">
        <w:rPr>
          <w:rFonts w:asciiTheme="minorHAnsi" w:hAnsiTheme="minorHAnsi"/>
          <w:sz w:val="22"/>
          <w:szCs w:val="22"/>
        </w:rPr>
        <w:t xml:space="preserve">4   The </w:t>
      </w:r>
      <w:r w:rsidR="00363DEE" w:rsidRPr="00BF1A0C">
        <w:rPr>
          <w:rFonts w:asciiTheme="minorHAnsi" w:hAnsiTheme="minorHAnsi"/>
          <w:sz w:val="22"/>
          <w:szCs w:val="22"/>
        </w:rPr>
        <w:t>following</w:t>
      </w:r>
      <w:r w:rsidR="00363DEE">
        <w:rPr>
          <w:rFonts w:asciiTheme="minorHAnsi" w:hAnsiTheme="minorHAnsi"/>
          <w:sz w:val="22"/>
          <w:szCs w:val="22"/>
        </w:rPr>
        <w:t xml:space="preserve"> </w:t>
      </w:r>
      <w:r w:rsidR="00363DEE" w:rsidRPr="00BF1A0C">
        <w:rPr>
          <w:rFonts w:asciiTheme="minorHAnsi" w:hAnsiTheme="minorHAnsi"/>
          <w:sz w:val="22"/>
          <w:szCs w:val="22"/>
        </w:rPr>
        <w:t>were</w:t>
      </w:r>
      <w:r>
        <w:rPr>
          <w:rFonts w:asciiTheme="minorHAnsi" w:hAnsiTheme="minorHAnsi"/>
          <w:sz w:val="22"/>
          <w:szCs w:val="22"/>
        </w:rPr>
        <w:t xml:space="preserve"> observed in a compass traverse. Correct for local attraction.</w:t>
      </w:r>
    </w:p>
    <w:p w:rsidR="00BF1A0C" w:rsidRPr="00BF1A0C" w:rsidRDefault="00BF1A0C" w:rsidP="00BF1A0C">
      <w:pPr>
        <w:pStyle w:val="Defaul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</w:t>
      </w:r>
    </w:p>
    <w:tbl>
      <w:tblPr>
        <w:tblStyle w:val="TableGrid"/>
        <w:tblW w:w="4278" w:type="dxa"/>
        <w:tblInd w:w="960" w:type="dxa"/>
        <w:tblLook w:val="04A0"/>
      </w:tblPr>
      <w:tblGrid>
        <w:gridCol w:w="858"/>
        <w:gridCol w:w="1620"/>
        <w:gridCol w:w="1800"/>
      </w:tblGrid>
      <w:tr w:rsidR="00BF1A0C" w:rsidTr="00BF1A0C">
        <w:trPr>
          <w:trHeight w:val="293"/>
        </w:trPr>
        <w:tc>
          <w:tcPr>
            <w:tcW w:w="858" w:type="dxa"/>
          </w:tcPr>
          <w:p w:rsidR="00BF1A0C" w:rsidRDefault="00BF1A0C" w:rsidP="00BF1A0C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Line </w:t>
            </w:r>
          </w:p>
        </w:tc>
        <w:tc>
          <w:tcPr>
            <w:tcW w:w="1620" w:type="dxa"/>
          </w:tcPr>
          <w:p w:rsidR="00BF1A0C" w:rsidRDefault="00BF1A0C" w:rsidP="00BF1A0C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Fore bearing</w:t>
            </w:r>
          </w:p>
        </w:tc>
        <w:tc>
          <w:tcPr>
            <w:tcW w:w="1800" w:type="dxa"/>
          </w:tcPr>
          <w:p w:rsidR="00BF1A0C" w:rsidRDefault="00BF1A0C" w:rsidP="00BF1A0C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Back bearing</w:t>
            </w:r>
          </w:p>
        </w:tc>
      </w:tr>
      <w:tr w:rsidR="00BF1A0C" w:rsidTr="00BF1A0C">
        <w:trPr>
          <w:trHeight w:val="293"/>
        </w:trPr>
        <w:tc>
          <w:tcPr>
            <w:tcW w:w="858" w:type="dxa"/>
          </w:tcPr>
          <w:p w:rsidR="00BF1A0C" w:rsidRDefault="00BF1A0C" w:rsidP="00BF1A0C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AB</w:t>
            </w:r>
          </w:p>
        </w:tc>
        <w:tc>
          <w:tcPr>
            <w:tcW w:w="1620" w:type="dxa"/>
          </w:tcPr>
          <w:p w:rsidR="00BF1A0C" w:rsidRDefault="00BF1A0C" w:rsidP="00BF1A0C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44</w:t>
            </w:r>
            <w:r w:rsidRPr="00BF1A0C">
              <w:rPr>
                <w:rFonts w:asciiTheme="minorHAnsi" w:hAnsiTheme="minorHAnsi"/>
                <w:sz w:val="22"/>
                <w:szCs w:val="22"/>
                <w:vertAlign w:val="superscript"/>
              </w:rPr>
              <w:t>0</w:t>
            </w:r>
            <w:r>
              <w:rPr>
                <w:rFonts w:asciiTheme="minorHAnsi" w:hAnsiTheme="minorHAnsi"/>
                <w:sz w:val="22"/>
                <w:szCs w:val="22"/>
              </w:rPr>
              <w:t>30’</w:t>
            </w:r>
          </w:p>
        </w:tc>
        <w:tc>
          <w:tcPr>
            <w:tcW w:w="1800" w:type="dxa"/>
          </w:tcPr>
          <w:p w:rsidR="00BF1A0C" w:rsidRDefault="00BF1A0C" w:rsidP="00BF1A0C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226</w:t>
            </w:r>
            <w:r w:rsidRPr="00BF1A0C">
              <w:rPr>
                <w:rFonts w:asciiTheme="minorHAnsi" w:hAnsiTheme="minorHAnsi"/>
                <w:sz w:val="22"/>
                <w:szCs w:val="22"/>
                <w:vertAlign w:val="superscript"/>
              </w:rPr>
              <w:t>0</w:t>
            </w:r>
            <w:r>
              <w:rPr>
                <w:rFonts w:asciiTheme="minorHAnsi" w:hAnsiTheme="minorHAnsi"/>
                <w:sz w:val="22"/>
                <w:szCs w:val="22"/>
              </w:rPr>
              <w:t>45’</w:t>
            </w:r>
          </w:p>
        </w:tc>
      </w:tr>
      <w:tr w:rsidR="00BF1A0C" w:rsidTr="00BF1A0C">
        <w:trPr>
          <w:trHeight w:val="277"/>
        </w:trPr>
        <w:tc>
          <w:tcPr>
            <w:tcW w:w="858" w:type="dxa"/>
          </w:tcPr>
          <w:p w:rsidR="00BF1A0C" w:rsidRDefault="00BF1A0C" w:rsidP="00BF1A0C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BC</w:t>
            </w:r>
          </w:p>
        </w:tc>
        <w:tc>
          <w:tcPr>
            <w:tcW w:w="1620" w:type="dxa"/>
          </w:tcPr>
          <w:p w:rsidR="00BF1A0C" w:rsidRDefault="00BF1A0C" w:rsidP="00BF1A0C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124</w:t>
            </w:r>
            <w:r w:rsidRPr="00BF1A0C">
              <w:rPr>
                <w:rFonts w:asciiTheme="minorHAnsi" w:hAnsiTheme="minorHAnsi"/>
                <w:sz w:val="22"/>
                <w:szCs w:val="22"/>
                <w:vertAlign w:val="superscript"/>
              </w:rPr>
              <w:t>0</w:t>
            </w:r>
            <w:r>
              <w:rPr>
                <w:rFonts w:asciiTheme="minorHAnsi" w:hAnsiTheme="minorHAnsi"/>
                <w:sz w:val="22"/>
                <w:szCs w:val="22"/>
              </w:rPr>
              <w:t>30’</w:t>
            </w:r>
          </w:p>
        </w:tc>
        <w:tc>
          <w:tcPr>
            <w:tcW w:w="1800" w:type="dxa"/>
          </w:tcPr>
          <w:p w:rsidR="00BF1A0C" w:rsidRDefault="00BF1A0C" w:rsidP="00BF1A0C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303</w:t>
            </w:r>
            <w:r w:rsidRPr="00BF1A0C">
              <w:rPr>
                <w:rFonts w:asciiTheme="minorHAnsi" w:hAnsiTheme="minorHAnsi"/>
                <w:sz w:val="22"/>
                <w:szCs w:val="22"/>
                <w:vertAlign w:val="superscript"/>
              </w:rPr>
              <w:t>0</w:t>
            </w:r>
            <w:r>
              <w:rPr>
                <w:rFonts w:asciiTheme="minorHAnsi" w:hAnsiTheme="minorHAnsi"/>
                <w:sz w:val="22"/>
                <w:szCs w:val="22"/>
              </w:rPr>
              <w:t>15’</w:t>
            </w:r>
          </w:p>
        </w:tc>
      </w:tr>
      <w:tr w:rsidR="00BF1A0C" w:rsidTr="00BF1A0C">
        <w:trPr>
          <w:trHeight w:val="277"/>
        </w:trPr>
        <w:tc>
          <w:tcPr>
            <w:tcW w:w="858" w:type="dxa"/>
          </w:tcPr>
          <w:p w:rsidR="00BF1A0C" w:rsidRDefault="00BF1A0C" w:rsidP="00BF1A0C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CD</w:t>
            </w:r>
          </w:p>
        </w:tc>
        <w:tc>
          <w:tcPr>
            <w:tcW w:w="1620" w:type="dxa"/>
          </w:tcPr>
          <w:p w:rsidR="00BF1A0C" w:rsidRDefault="00BF1A0C" w:rsidP="00BF1A0C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181</w:t>
            </w:r>
            <w:r w:rsidRPr="00BF1A0C">
              <w:rPr>
                <w:rFonts w:asciiTheme="minorHAnsi" w:hAnsiTheme="minorHAnsi"/>
                <w:sz w:val="22"/>
                <w:szCs w:val="22"/>
                <w:vertAlign w:val="superscript"/>
              </w:rPr>
              <w:t>0</w:t>
            </w:r>
            <w:r>
              <w:rPr>
                <w:rFonts w:asciiTheme="minorHAnsi" w:hAnsiTheme="minorHAnsi"/>
                <w:sz w:val="22"/>
                <w:szCs w:val="22"/>
              </w:rPr>
              <w:t>00’</w:t>
            </w:r>
          </w:p>
        </w:tc>
        <w:tc>
          <w:tcPr>
            <w:tcW w:w="1800" w:type="dxa"/>
          </w:tcPr>
          <w:p w:rsidR="00BF1A0C" w:rsidRDefault="00BF1A0C" w:rsidP="00BF1A0C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</w:t>
            </w:r>
            <w:r w:rsidRPr="00BF1A0C">
              <w:rPr>
                <w:rFonts w:asciiTheme="minorHAnsi" w:hAnsiTheme="minorHAnsi"/>
                <w:sz w:val="22"/>
                <w:szCs w:val="22"/>
                <w:vertAlign w:val="superscript"/>
              </w:rPr>
              <w:t>0</w:t>
            </w:r>
            <w:r>
              <w:rPr>
                <w:rFonts w:asciiTheme="minorHAnsi" w:hAnsiTheme="minorHAnsi"/>
                <w:sz w:val="22"/>
                <w:szCs w:val="22"/>
              </w:rPr>
              <w:t>00’</w:t>
            </w:r>
          </w:p>
        </w:tc>
      </w:tr>
      <w:tr w:rsidR="00BF1A0C" w:rsidTr="00BF1A0C">
        <w:trPr>
          <w:trHeight w:val="309"/>
        </w:trPr>
        <w:tc>
          <w:tcPr>
            <w:tcW w:w="858" w:type="dxa"/>
          </w:tcPr>
          <w:p w:rsidR="00BF1A0C" w:rsidRDefault="00BF1A0C" w:rsidP="00BF1A0C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DA</w:t>
            </w:r>
          </w:p>
        </w:tc>
        <w:tc>
          <w:tcPr>
            <w:tcW w:w="1620" w:type="dxa"/>
          </w:tcPr>
          <w:p w:rsidR="00BF1A0C" w:rsidRDefault="00BF1A0C" w:rsidP="00BF1A0C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289</w:t>
            </w:r>
            <w:r w:rsidRPr="00BF1A0C">
              <w:rPr>
                <w:rFonts w:asciiTheme="minorHAnsi" w:hAnsiTheme="minorHAnsi"/>
                <w:sz w:val="22"/>
                <w:szCs w:val="22"/>
                <w:vertAlign w:val="superscript"/>
              </w:rPr>
              <w:t>0</w:t>
            </w:r>
            <w:r>
              <w:rPr>
                <w:rFonts w:asciiTheme="minorHAnsi" w:hAnsiTheme="minorHAnsi"/>
                <w:sz w:val="22"/>
                <w:szCs w:val="22"/>
              </w:rPr>
              <w:t>30’</w:t>
            </w:r>
          </w:p>
        </w:tc>
        <w:tc>
          <w:tcPr>
            <w:tcW w:w="1800" w:type="dxa"/>
          </w:tcPr>
          <w:p w:rsidR="00BF1A0C" w:rsidRDefault="00BF1A0C" w:rsidP="00BF1A0C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108</w:t>
            </w:r>
            <w:r w:rsidRPr="00BF1A0C">
              <w:rPr>
                <w:rFonts w:asciiTheme="minorHAnsi" w:hAnsiTheme="minorHAnsi"/>
                <w:sz w:val="22"/>
                <w:szCs w:val="22"/>
                <w:vertAlign w:val="superscript"/>
              </w:rPr>
              <w:t>0</w:t>
            </w:r>
            <w:r>
              <w:rPr>
                <w:rFonts w:asciiTheme="minorHAnsi" w:hAnsiTheme="minorHAnsi"/>
                <w:sz w:val="22"/>
                <w:szCs w:val="22"/>
              </w:rPr>
              <w:t>30’</w:t>
            </w:r>
          </w:p>
        </w:tc>
      </w:tr>
    </w:tbl>
    <w:p w:rsidR="00B00768" w:rsidRDefault="00BF1A0C" w:rsidP="00BF1A0C">
      <w:pPr>
        <w:pStyle w:val="Defaul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OR</w:t>
      </w:r>
    </w:p>
    <w:p w:rsidR="008B0C57" w:rsidRDefault="00BF1A0C" w:rsidP="008B0C57">
      <w:pPr>
        <w:pStyle w:val="Defaul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5    List out methods of plane tabling and explain any one met</w:t>
      </w:r>
      <w:r w:rsidR="008B0C57">
        <w:rPr>
          <w:rFonts w:asciiTheme="minorHAnsi" w:hAnsiTheme="minorHAnsi"/>
          <w:sz w:val="22"/>
          <w:szCs w:val="22"/>
        </w:rPr>
        <w:t>hod with a neat sketch</w:t>
      </w:r>
    </w:p>
    <w:p w:rsidR="008B0C57" w:rsidRPr="008B0C57" w:rsidRDefault="008B0C57" w:rsidP="008B0C57">
      <w:pPr>
        <w:pStyle w:val="Default"/>
        <w:rPr>
          <w:rFonts w:ascii="Calibri" w:hAnsi="Calibri"/>
          <w:sz w:val="22"/>
          <w:szCs w:val="22"/>
        </w:rPr>
      </w:pPr>
    </w:p>
    <w:tbl>
      <w:tblPr>
        <w:tblStyle w:val="TableGrid"/>
        <w:tblW w:w="0" w:type="auto"/>
        <w:tblInd w:w="3990" w:type="dxa"/>
        <w:tblLook w:val="04A0"/>
      </w:tblPr>
      <w:tblGrid>
        <w:gridCol w:w="1399"/>
      </w:tblGrid>
      <w:tr w:rsidR="008B0C57" w:rsidTr="00817AC3">
        <w:trPr>
          <w:trHeight w:val="216"/>
        </w:trPr>
        <w:tc>
          <w:tcPr>
            <w:tcW w:w="1399" w:type="dxa"/>
          </w:tcPr>
          <w:p w:rsidR="008B0C57" w:rsidRDefault="008B0C57" w:rsidP="00817AC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UNIT-III</w:t>
            </w:r>
          </w:p>
        </w:tc>
      </w:tr>
    </w:tbl>
    <w:p w:rsidR="008B0C57" w:rsidRDefault="008B0C57" w:rsidP="00BF1A0C">
      <w:pPr>
        <w:pStyle w:val="Defaul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6 </w:t>
      </w:r>
      <w:r w:rsidR="00FC6FEB">
        <w:rPr>
          <w:rFonts w:asciiTheme="minorHAnsi" w:hAnsiTheme="minorHAnsi"/>
          <w:sz w:val="22"/>
          <w:szCs w:val="22"/>
        </w:rPr>
        <w:t xml:space="preserve">  </w:t>
      </w:r>
      <w:r>
        <w:rPr>
          <w:rFonts w:asciiTheme="minorHAnsi" w:hAnsiTheme="minorHAnsi"/>
          <w:sz w:val="22"/>
          <w:szCs w:val="22"/>
        </w:rPr>
        <w:t xml:space="preserve">The following staff readings were observed with a level and a 4m staff on a continuously sloping ground  at a common interval </w:t>
      </w:r>
      <w:r w:rsidR="00FC6FEB">
        <w:rPr>
          <w:rFonts w:asciiTheme="minorHAnsi" w:hAnsiTheme="minorHAnsi"/>
          <w:sz w:val="22"/>
          <w:szCs w:val="22"/>
        </w:rPr>
        <w:t xml:space="preserve">of a 15m: </w:t>
      </w:r>
      <w:r>
        <w:rPr>
          <w:rFonts w:asciiTheme="minorHAnsi" w:hAnsiTheme="minorHAnsi"/>
          <w:sz w:val="22"/>
          <w:szCs w:val="22"/>
        </w:rPr>
        <w:t>0.880,1.635,2.055,2.530,3.085,3.580,1.255,2.060,2.465,3.740,1.145,1.730 and 2.645.</w:t>
      </w:r>
      <w:r w:rsidR="00FC6FEB">
        <w:rPr>
          <w:rFonts w:asciiTheme="minorHAnsi" w:hAnsiTheme="minorHAnsi"/>
          <w:sz w:val="22"/>
          <w:szCs w:val="22"/>
        </w:rPr>
        <w:t>The reduced level of the first point was 780.150.Rule out a page of a level-book and enter above readings. Calculate the reduced levels and the gradient of the line joining the first and last point.</w:t>
      </w:r>
    </w:p>
    <w:p w:rsidR="008B0C57" w:rsidRDefault="00FC6FEB" w:rsidP="00BF1A0C">
      <w:pPr>
        <w:pStyle w:val="Defaul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OR</w:t>
      </w:r>
    </w:p>
    <w:p w:rsidR="00FC6FEB" w:rsidRDefault="002971B8" w:rsidP="00BF1A0C">
      <w:pPr>
        <w:pStyle w:val="Defaul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7    E</w:t>
      </w:r>
      <w:r w:rsidR="00FC6FEB">
        <w:rPr>
          <w:rFonts w:asciiTheme="minorHAnsi" w:hAnsiTheme="minorHAnsi"/>
          <w:sz w:val="22"/>
          <w:szCs w:val="22"/>
        </w:rPr>
        <w:t>xplain about the characteristics</w:t>
      </w:r>
      <w:r w:rsidR="008524BC">
        <w:rPr>
          <w:rFonts w:asciiTheme="minorHAnsi" w:hAnsiTheme="minorHAnsi"/>
          <w:sz w:val="22"/>
          <w:szCs w:val="22"/>
        </w:rPr>
        <w:t xml:space="preserve"> of contours with neat sketches.</w:t>
      </w:r>
    </w:p>
    <w:p w:rsidR="00EC0B4C" w:rsidRPr="008B0C57" w:rsidRDefault="00EC0B4C" w:rsidP="00EC0B4C">
      <w:pPr>
        <w:pStyle w:val="Default"/>
        <w:rPr>
          <w:rFonts w:ascii="Calibri" w:hAnsi="Calibri"/>
          <w:sz w:val="22"/>
          <w:szCs w:val="22"/>
        </w:rPr>
      </w:pPr>
    </w:p>
    <w:tbl>
      <w:tblPr>
        <w:tblStyle w:val="TableGrid"/>
        <w:tblW w:w="0" w:type="auto"/>
        <w:tblInd w:w="3990" w:type="dxa"/>
        <w:tblLook w:val="04A0"/>
      </w:tblPr>
      <w:tblGrid>
        <w:gridCol w:w="1399"/>
      </w:tblGrid>
      <w:tr w:rsidR="00EC0B4C" w:rsidTr="00817AC3">
        <w:trPr>
          <w:trHeight w:val="216"/>
        </w:trPr>
        <w:tc>
          <w:tcPr>
            <w:tcW w:w="1399" w:type="dxa"/>
          </w:tcPr>
          <w:p w:rsidR="00EC0B4C" w:rsidRDefault="00EC0B4C" w:rsidP="00817AC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UNIT-IV</w:t>
            </w:r>
          </w:p>
        </w:tc>
      </w:tr>
    </w:tbl>
    <w:p w:rsidR="00EC0B4C" w:rsidRDefault="002971B8" w:rsidP="00BF1A0C">
      <w:pPr>
        <w:pStyle w:val="Defaul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8    W</w:t>
      </w:r>
      <w:r w:rsidR="00EC0B4C">
        <w:rPr>
          <w:rFonts w:asciiTheme="minorHAnsi" w:hAnsiTheme="minorHAnsi"/>
          <w:sz w:val="22"/>
          <w:szCs w:val="22"/>
        </w:rPr>
        <w:t>hat are the different errors in Theodolite work? How are they eliminated?</w:t>
      </w:r>
    </w:p>
    <w:p w:rsidR="00E636F6" w:rsidRDefault="00E636F6" w:rsidP="00E636F6">
      <w:pPr>
        <w:pStyle w:val="Default"/>
        <w:ind w:left="3600" w:firstLine="72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OR</w:t>
      </w:r>
    </w:p>
    <w:p w:rsidR="00EC0B4C" w:rsidRDefault="00EC0B4C" w:rsidP="00EC0B4C">
      <w:pPr>
        <w:pStyle w:val="Defaul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9   Define the following terms in Theodolite:</w:t>
      </w:r>
    </w:p>
    <w:p w:rsidR="00EC0B4C" w:rsidRDefault="00EC0B4C" w:rsidP="00EC0B4C">
      <w:pPr>
        <w:pStyle w:val="Defaul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(a)Vertical axis (b) Horizontal axis (c) Centering</w:t>
      </w:r>
      <w:r w:rsidR="00363DEE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 (d</w:t>
      </w:r>
      <w:r w:rsidR="00363DEE">
        <w:rPr>
          <w:rFonts w:asciiTheme="minorHAnsi" w:hAnsiTheme="minorHAnsi"/>
          <w:sz w:val="22"/>
          <w:szCs w:val="22"/>
        </w:rPr>
        <w:t>) Transiting</w:t>
      </w:r>
      <w:r>
        <w:rPr>
          <w:rFonts w:asciiTheme="minorHAnsi" w:hAnsiTheme="minorHAnsi"/>
          <w:sz w:val="22"/>
          <w:szCs w:val="22"/>
        </w:rPr>
        <w:t xml:space="preserve"> (e)Changing face</w:t>
      </w:r>
    </w:p>
    <w:p w:rsidR="00EC0B4C" w:rsidRPr="008B0C57" w:rsidRDefault="00EC0B4C" w:rsidP="00EC0B4C">
      <w:pPr>
        <w:pStyle w:val="Default"/>
        <w:rPr>
          <w:rFonts w:ascii="Calibri" w:hAnsi="Calibr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</w:p>
    <w:tbl>
      <w:tblPr>
        <w:tblStyle w:val="TableGrid"/>
        <w:tblW w:w="0" w:type="auto"/>
        <w:tblInd w:w="3990" w:type="dxa"/>
        <w:tblLook w:val="04A0"/>
      </w:tblPr>
      <w:tblGrid>
        <w:gridCol w:w="1399"/>
      </w:tblGrid>
      <w:tr w:rsidR="00EC0B4C" w:rsidTr="00817AC3">
        <w:trPr>
          <w:trHeight w:val="216"/>
        </w:trPr>
        <w:tc>
          <w:tcPr>
            <w:tcW w:w="1399" w:type="dxa"/>
          </w:tcPr>
          <w:p w:rsidR="00EC0B4C" w:rsidRDefault="00EC0B4C" w:rsidP="00817AC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UNIT-V</w:t>
            </w:r>
          </w:p>
        </w:tc>
      </w:tr>
    </w:tbl>
    <w:p w:rsidR="00EC0B4C" w:rsidRDefault="00EC0B4C" w:rsidP="00EC0B4C">
      <w:pPr>
        <w:pStyle w:val="Defaul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10  (a) </w:t>
      </w:r>
      <w:r w:rsidR="00E636F6">
        <w:rPr>
          <w:rFonts w:asciiTheme="minorHAnsi" w:hAnsiTheme="minorHAnsi"/>
          <w:sz w:val="22"/>
          <w:szCs w:val="22"/>
        </w:rPr>
        <w:t xml:space="preserve"> </w:t>
      </w:r>
      <w:r w:rsidR="002971B8">
        <w:rPr>
          <w:rFonts w:asciiTheme="minorHAnsi" w:hAnsiTheme="minorHAnsi"/>
          <w:sz w:val="22"/>
          <w:szCs w:val="22"/>
        </w:rPr>
        <w:t>T</w:t>
      </w:r>
      <w:r>
        <w:rPr>
          <w:rFonts w:asciiTheme="minorHAnsi" w:hAnsiTheme="minorHAnsi"/>
          <w:sz w:val="22"/>
          <w:szCs w:val="22"/>
        </w:rPr>
        <w:t>he perpendicular offsets taken at 10m intervals from a survey line to an irregular boundary are 2.18m,3.3m ,4.26m,6.2m,4.8m,7.20m,8.8m,8.2m and 5.2m.determine the area enclosed between the boundary, survey</w:t>
      </w:r>
      <w:r w:rsidR="00E636F6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line</w:t>
      </w:r>
      <w:r w:rsidR="00E636F6">
        <w:rPr>
          <w:rFonts w:asciiTheme="minorHAnsi" w:hAnsiTheme="minorHAnsi"/>
          <w:sz w:val="22"/>
          <w:szCs w:val="22"/>
        </w:rPr>
        <w:t>, the first and last offsets by (</w:t>
      </w:r>
      <w:proofErr w:type="spellStart"/>
      <w:r w:rsidR="00E636F6">
        <w:rPr>
          <w:rFonts w:asciiTheme="minorHAnsi" w:hAnsiTheme="minorHAnsi"/>
          <w:sz w:val="22"/>
          <w:szCs w:val="22"/>
        </w:rPr>
        <w:t>i</w:t>
      </w:r>
      <w:proofErr w:type="spellEnd"/>
      <w:r w:rsidR="00E636F6">
        <w:rPr>
          <w:rFonts w:asciiTheme="minorHAnsi" w:hAnsiTheme="minorHAnsi"/>
          <w:sz w:val="22"/>
          <w:szCs w:val="22"/>
        </w:rPr>
        <w:t>)Trapezoidal rule (ii) Simpson’s rule.</w:t>
      </w:r>
      <w:r>
        <w:rPr>
          <w:rFonts w:asciiTheme="minorHAnsi" w:hAnsiTheme="minorHAnsi"/>
          <w:sz w:val="22"/>
          <w:szCs w:val="22"/>
        </w:rPr>
        <w:t xml:space="preserve"> </w:t>
      </w:r>
    </w:p>
    <w:p w:rsidR="00E636F6" w:rsidRDefault="00E636F6" w:rsidP="00EC0B4C">
      <w:pPr>
        <w:pStyle w:val="Defaul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 (b)  Find out the volume of earth work in a road cutting 120m long from the following data. The formation width 10 meters , side slopes 1 to 1; average depth of cutting along the centre of line 5m, slope of ground in cross-section  10 to 1</w:t>
      </w:r>
    </w:p>
    <w:p w:rsidR="00E636F6" w:rsidRDefault="00E636F6" w:rsidP="00EC0B4C">
      <w:pPr>
        <w:pStyle w:val="Defaul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</w:t>
      </w:r>
    </w:p>
    <w:p w:rsidR="00E636F6" w:rsidRDefault="00E636F6" w:rsidP="00E636F6">
      <w:pPr>
        <w:pStyle w:val="Default"/>
        <w:ind w:left="3600" w:firstLine="72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OR</w:t>
      </w:r>
    </w:p>
    <w:p w:rsidR="00E636F6" w:rsidRDefault="002971B8" w:rsidP="00EC0B4C">
      <w:pPr>
        <w:pStyle w:val="Defaul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11   T</w:t>
      </w:r>
      <w:r w:rsidR="00E636F6">
        <w:rPr>
          <w:rFonts w:asciiTheme="minorHAnsi" w:hAnsiTheme="minorHAnsi"/>
          <w:sz w:val="22"/>
          <w:szCs w:val="22"/>
        </w:rPr>
        <w:t>he following offsets were taken from a chain line to a hedge</w:t>
      </w:r>
    </w:p>
    <w:tbl>
      <w:tblPr>
        <w:tblStyle w:val="TableGrid"/>
        <w:tblW w:w="0" w:type="auto"/>
        <w:tblLook w:val="04A0"/>
      </w:tblPr>
      <w:tblGrid>
        <w:gridCol w:w="1134"/>
        <w:gridCol w:w="607"/>
        <w:gridCol w:w="495"/>
        <w:gridCol w:w="607"/>
        <w:gridCol w:w="607"/>
        <w:gridCol w:w="607"/>
        <w:gridCol w:w="641"/>
        <w:gridCol w:w="630"/>
        <w:gridCol w:w="630"/>
        <w:gridCol w:w="630"/>
        <w:gridCol w:w="720"/>
      </w:tblGrid>
      <w:tr w:rsidR="00363DEE" w:rsidTr="00363DEE">
        <w:trPr>
          <w:trHeight w:val="264"/>
        </w:trPr>
        <w:tc>
          <w:tcPr>
            <w:tcW w:w="1134" w:type="dxa"/>
            <w:tcBorders>
              <w:bottom w:val="single" w:sz="4" w:space="0" w:color="auto"/>
            </w:tcBorders>
          </w:tcPr>
          <w:p w:rsidR="00E636F6" w:rsidRDefault="00E636F6" w:rsidP="00EC0B4C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Chain(m):</w:t>
            </w:r>
          </w:p>
        </w:tc>
        <w:tc>
          <w:tcPr>
            <w:tcW w:w="607" w:type="dxa"/>
          </w:tcPr>
          <w:p w:rsidR="00E636F6" w:rsidRDefault="00E636F6" w:rsidP="00EC0B4C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495" w:type="dxa"/>
          </w:tcPr>
          <w:p w:rsidR="00E636F6" w:rsidRDefault="00E636F6" w:rsidP="00EC0B4C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15</w:t>
            </w:r>
          </w:p>
        </w:tc>
        <w:tc>
          <w:tcPr>
            <w:tcW w:w="607" w:type="dxa"/>
          </w:tcPr>
          <w:p w:rsidR="00E636F6" w:rsidRDefault="00E636F6" w:rsidP="00EC0B4C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30</w:t>
            </w:r>
          </w:p>
        </w:tc>
        <w:tc>
          <w:tcPr>
            <w:tcW w:w="607" w:type="dxa"/>
          </w:tcPr>
          <w:p w:rsidR="00E636F6" w:rsidRDefault="00E636F6" w:rsidP="00EC0B4C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45</w:t>
            </w:r>
          </w:p>
        </w:tc>
        <w:tc>
          <w:tcPr>
            <w:tcW w:w="607" w:type="dxa"/>
          </w:tcPr>
          <w:p w:rsidR="00E636F6" w:rsidRDefault="00E636F6" w:rsidP="00EC0B4C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60</w:t>
            </w:r>
          </w:p>
        </w:tc>
        <w:tc>
          <w:tcPr>
            <w:tcW w:w="641" w:type="dxa"/>
          </w:tcPr>
          <w:p w:rsidR="00E636F6" w:rsidRDefault="00E636F6" w:rsidP="00EC0B4C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70</w:t>
            </w:r>
          </w:p>
        </w:tc>
        <w:tc>
          <w:tcPr>
            <w:tcW w:w="630" w:type="dxa"/>
          </w:tcPr>
          <w:p w:rsidR="00E636F6" w:rsidRDefault="00E636F6" w:rsidP="00EC0B4C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80</w:t>
            </w:r>
          </w:p>
        </w:tc>
        <w:tc>
          <w:tcPr>
            <w:tcW w:w="630" w:type="dxa"/>
          </w:tcPr>
          <w:p w:rsidR="00E636F6" w:rsidRDefault="00E636F6" w:rsidP="00EC0B4C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100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E636F6" w:rsidRDefault="00E636F6" w:rsidP="00EC0B4C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120</w:t>
            </w:r>
          </w:p>
        </w:tc>
        <w:tc>
          <w:tcPr>
            <w:tcW w:w="720" w:type="dxa"/>
            <w:tcBorders>
              <w:left w:val="single" w:sz="4" w:space="0" w:color="auto"/>
            </w:tcBorders>
          </w:tcPr>
          <w:p w:rsidR="00E636F6" w:rsidRDefault="00E636F6" w:rsidP="00EC0B4C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140</w:t>
            </w:r>
          </w:p>
        </w:tc>
      </w:tr>
      <w:tr w:rsidR="00363DEE" w:rsidTr="00363DEE">
        <w:trPr>
          <w:trHeight w:val="246"/>
        </w:trPr>
        <w:tc>
          <w:tcPr>
            <w:tcW w:w="1134" w:type="dxa"/>
            <w:tcBorders>
              <w:top w:val="single" w:sz="4" w:space="0" w:color="auto"/>
            </w:tcBorders>
          </w:tcPr>
          <w:p w:rsidR="00E636F6" w:rsidRDefault="00E636F6" w:rsidP="00EC0B4C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Offset(m):</w:t>
            </w:r>
          </w:p>
        </w:tc>
        <w:tc>
          <w:tcPr>
            <w:tcW w:w="607" w:type="dxa"/>
          </w:tcPr>
          <w:p w:rsidR="00E636F6" w:rsidRDefault="00E636F6" w:rsidP="00EC0B4C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7.60</w:t>
            </w:r>
          </w:p>
        </w:tc>
        <w:tc>
          <w:tcPr>
            <w:tcW w:w="495" w:type="dxa"/>
          </w:tcPr>
          <w:p w:rsidR="00E636F6" w:rsidRDefault="00363DEE" w:rsidP="00EC0B4C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8.5</w:t>
            </w:r>
          </w:p>
        </w:tc>
        <w:tc>
          <w:tcPr>
            <w:tcW w:w="607" w:type="dxa"/>
          </w:tcPr>
          <w:p w:rsidR="00E636F6" w:rsidRDefault="00363DEE" w:rsidP="00EC0B4C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10.7</w:t>
            </w:r>
          </w:p>
        </w:tc>
        <w:tc>
          <w:tcPr>
            <w:tcW w:w="607" w:type="dxa"/>
          </w:tcPr>
          <w:p w:rsidR="00E636F6" w:rsidRDefault="00363DEE" w:rsidP="00EC0B4C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12.8</w:t>
            </w:r>
          </w:p>
        </w:tc>
        <w:tc>
          <w:tcPr>
            <w:tcW w:w="607" w:type="dxa"/>
          </w:tcPr>
          <w:p w:rsidR="00E636F6" w:rsidRDefault="00363DEE" w:rsidP="00EC0B4C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10.6</w:t>
            </w:r>
          </w:p>
        </w:tc>
        <w:tc>
          <w:tcPr>
            <w:tcW w:w="641" w:type="dxa"/>
          </w:tcPr>
          <w:p w:rsidR="00E636F6" w:rsidRDefault="00363DEE" w:rsidP="00EC0B4C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9.5</w:t>
            </w:r>
          </w:p>
        </w:tc>
        <w:tc>
          <w:tcPr>
            <w:tcW w:w="630" w:type="dxa"/>
          </w:tcPr>
          <w:p w:rsidR="00E636F6" w:rsidRDefault="00363DEE" w:rsidP="00EC0B4C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8.3</w:t>
            </w:r>
          </w:p>
        </w:tc>
        <w:tc>
          <w:tcPr>
            <w:tcW w:w="630" w:type="dxa"/>
          </w:tcPr>
          <w:p w:rsidR="00E636F6" w:rsidRDefault="00363DEE" w:rsidP="00EC0B4C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7.9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E636F6" w:rsidRDefault="00363DEE" w:rsidP="00EC0B4C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6.4</w:t>
            </w:r>
          </w:p>
        </w:tc>
        <w:tc>
          <w:tcPr>
            <w:tcW w:w="720" w:type="dxa"/>
            <w:tcBorders>
              <w:left w:val="single" w:sz="4" w:space="0" w:color="auto"/>
            </w:tcBorders>
          </w:tcPr>
          <w:p w:rsidR="00E636F6" w:rsidRDefault="00363DEE" w:rsidP="00EC0B4C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4.4</w:t>
            </w:r>
          </w:p>
        </w:tc>
      </w:tr>
    </w:tbl>
    <w:p w:rsidR="00E636F6" w:rsidRDefault="00363DEE" w:rsidP="00EC0B4C">
      <w:pPr>
        <w:pStyle w:val="Defaul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Compute the area by </w:t>
      </w:r>
    </w:p>
    <w:p w:rsidR="00363DEE" w:rsidRDefault="00363DEE" w:rsidP="00363DEE">
      <w:pPr>
        <w:pStyle w:val="Defaul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 (a)</w:t>
      </w:r>
      <w:r w:rsidRPr="00363DEE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Trapezoidal </w:t>
      </w:r>
      <w:r w:rsidR="008714A9">
        <w:rPr>
          <w:rFonts w:asciiTheme="minorHAnsi" w:hAnsiTheme="minorHAnsi"/>
          <w:sz w:val="22"/>
          <w:szCs w:val="22"/>
        </w:rPr>
        <w:t>rule (</w:t>
      </w:r>
      <w:r>
        <w:rPr>
          <w:rFonts w:asciiTheme="minorHAnsi" w:hAnsiTheme="minorHAnsi"/>
          <w:sz w:val="22"/>
          <w:szCs w:val="22"/>
        </w:rPr>
        <w:t>b) Simpson’s rule (c) Average ordinate rule.</w:t>
      </w:r>
    </w:p>
    <w:p w:rsidR="00363DEE" w:rsidRPr="00BF1A0C" w:rsidRDefault="00363DEE" w:rsidP="00EC0B4C">
      <w:pPr>
        <w:pStyle w:val="Default"/>
        <w:rPr>
          <w:rFonts w:asciiTheme="minorHAnsi" w:hAnsiTheme="minorHAnsi"/>
          <w:sz w:val="22"/>
          <w:szCs w:val="22"/>
        </w:rPr>
      </w:pPr>
    </w:p>
    <w:sectPr w:rsidR="00363DEE" w:rsidRPr="00BF1A0C" w:rsidSect="00B007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D4012"/>
    <w:rsid w:val="00074986"/>
    <w:rsid w:val="000B1477"/>
    <w:rsid w:val="002971B8"/>
    <w:rsid w:val="00363DEE"/>
    <w:rsid w:val="00557C9B"/>
    <w:rsid w:val="006D4012"/>
    <w:rsid w:val="008524BC"/>
    <w:rsid w:val="008714A9"/>
    <w:rsid w:val="008B0C57"/>
    <w:rsid w:val="00A86DE4"/>
    <w:rsid w:val="00B00768"/>
    <w:rsid w:val="00BF1A0C"/>
    <w:rsid w:val="00C90876"/>
    <w:rsid w:val="00E636F6"/>
    <w:rsid w:val="00EB3F5C"/>
    <w:rsid w:val="00EC0B4C"/>
    <w:rsid w:val="00F01F74"/>
    <w:rsid w:val="00FC6F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4012"/>
    <w:rPr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6D401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IN"/>
    </w:rPr>
  </w:style>
  <w:style w:type="table" w:styleId="TableGrid">
    <w:name w:val="Table Grid"/>
    <w:basedOn w:val="TableNormal"/>
    <w:uiPriority w:val="59"/>
    <w:rsid w:val="00EB3F5C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160D6C7-0000-45B6-94E5-2062B305B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540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gkce</dc:creator>
  <cp:keywords/>
  <dc:description/>
  <cp:lastModifiedBy>gkce</cp:lastModifiedBy>
  <cp:revision>2</cp:revision>
  <dcterms:created xsi:type="dcterms:W3CDTF">2016-10-31T10:18:00Z</dcterms:created>
  <dcterms:modified xsi:type="dcterms:W3CDTF">2016-10-31T10:18:00Z</dcterms:modified>
</cp:coreProperties>
</file>